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80" w:hanging="54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 w:hanging="54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5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MS 447 Exploration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6th grade Unit 3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60"/>
                <w:szCs w:val="60"/>
                <w:rtl w:val="0"/>
              </w:rPr>
              <w:t xml:space="preserve">Water Stewardship Share Fair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114300</wp:posOffset>
                  </wp:positionV>
                  <wp:extent cx="1576388" cy="913969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88" cy="9139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check out our Water Stewardship Action Plans and the impact we have made on our NYC waterways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  <w:rtl w:val="0"/>
              </w:rPr>
              <w:t xml:space="preserve">Please join us: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u w:val="single"/>
                <w:rtl w:val="0"/>
              </w:rPr>
              <w:t xml:space="preserve">Friday June 7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Blue, Red, Yellow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(601,602,603)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Rooms 324, 326, 327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10:00-11:00 am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u w:val="single"/>
                <w:rtl w:val="0"/>
              </w:rPr>
              <w:t xml:space="preserve">Monday June 10 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Green, Orange, Purple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(604,605,606)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Rooms 324, 326, 327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10:00-11:00 am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You are also welcome to join us for our Trip to Governor’s Island and the Billion Oyster Project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BLUE RED YELLOW: Tuesday June 18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GREEN ORANGE PURPLE: Wednesday June 19 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Meet at ms 447 @ 9 am -- bring a lunch!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