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180" w:hanging="54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35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trHeight w:val="9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MS 447 Exploration</w:t>
            </w:r>
          </w:p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6th grade Unit 1 EXPO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152400</wp:posOffset>
                  </wp:positionV>
                  <wp:extent cx="1573938" cy="1281113"/>
                  <wp:effectExtent b="0" l="0" r="0" t="0"/>
                  <wp:wrapSquare wrapText="bothSides" distB="114300" distT="114300" distL="114300" distR="114300"/>
                  <wp:docPr descr="Image result for food for thought" id="4" name="image2.jpg"/>
                  <a:graphic>
                    <a:graphicData uri="http://schemas.openxmlformats.org/drawingml/2006/picture">
                      <pic:pic>
                        <pic:nvPicPr>
                          <pic:cNvPr descr="Image result for food for thought"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938" cy="1281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96"/>
                <w:szCs w:val="96"/>
                <w:rtl w:val="0"/>
              </w:rPr>
              <w:t xml:space="preserve">Food For Thought: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96"/>
                <w:szCs w:val="96"/>
                <w:rtl w:val="0"/>
              </w:rPr>
              <w:t xml:space="preserve">A Taste of MS 447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check out our Restaurants and Local/Seasonal Recipes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Hear what we learned about How our eating practices Impact our natural environment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Come learn about food justice and food sustainability</w:t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Please join us in Rooms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324, 326, and 327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10:00 - 11:15 Am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BLUE RED YELLOW: Thursday January 24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GREEN ORANGE PURPLE: Monday January 28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right="-180" w:hanging="54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2438400</wp:posOffset>
            </wp:positionH>
            <wp:positionV relativeFrom="paragraph">
              <wp:posOffset>133350</wp:posOffset>
            </wp:positionV>
            <wp:extent cx="1601629" cy="1085850"/>
            <wp:effectExtent b="0" l="0" r="0" t="0"/>
            <wp:wrapSquare wrapText="bothSides" distB="114300" distT="114300" distL="114300" distR="114300"/>
            <wp:docPr descr="Image result for food" id="3" name="image1.png"/>
            <a:graphic>
              <a:graphicData uri="http://schemas.openxmlformats.org/drawingml/2006/picture">
                <pic:pic>
                  <pic:nvPicPr>
                    <pic:cNvPr descr="Image result for foo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1629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352425</wp:posOffset>
            </wp:positionV>
            <wp:extent cx="1457519" cy="776288"/>
            <wp:effectExtent b="0" l="0" r="0" t="0"/>
            <wp:wrapSquare wrapText="bothSides" distB="114300" distT="114300" distL="114300" distR="114300"/>
            <wp:docPr descr="Carrot" id="2" name="image4.png"/>
            <a:graphic>
              <a:graphicData uri="http://schemas.openxmlformats.org/drawingml/2006/picture">
                <pic:pic>
                  <pic:nvPicPr>
                    <pic:cNvPr descr="Carrot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519" cy="776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133350</wp:posOffset>
            </wp:positionV>
            <wp:extent cx="1081088" cy="1081088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081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