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180" w:hanging="540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5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MS 447 Exploration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142875</wp:posOffset>
                  </wp:positionV>
                  <wp:extent cx="1083290" cy="177641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90" cy="17764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88"/>
                <w:szCs w:val="8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88"/>
                <w:szCs w:val="88"/>
                <w:rtl w:val="0"/>
              </w:rPr>
              <w:t xml:space="preserve">8th grade Unit 1 EXPO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552450</wp:posOffset>
                  </wp:positionV>
                  <wp:extent cx="2005013" cy="1583358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13" cy="1583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 Inventions for a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96"/>
                <w:szCs w:val="96"/>
                <w:rtl w:val="0"/>
              </w:rPr>
              <w:t xml:space="preserve">Better World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Curious about how to design, invent and innovate for a better tomorrow ???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check out our ideas as we showcase our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Invention and innovation Schematics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Permanent Marker" w:cs="Permanent Marker" w:eastAsia="Permanent Marker" w:hAnsi="Permanent Marker"/>
                <w:sz w:val="32"/>
                <w:szCs w:val="32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2"/>
                <w:szCs w:val="32"/>
                <w:rtl w:val="0"/>
              </w:rPr>
              <w:t xml:space="preserve">tEam Design Challenges </w:t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Please join us in Rooms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324, 326, and 327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48"/>
                <w:szCs w:val="48"/>
                <w:rtl w:val="0"/>
              </w:rPr>
              <w:t xml:space="preserve">11:30 am - 1:oo pm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BLUE RED YELLOW: Wednesday December 5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GREEN ORANGE PURPLE: Thursday December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right="-180" w:hanging="540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